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04" w:rsidRPr="00BF5D08" w:rsidRDefault="00911E04" w:rsidP="00911E0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BF5D0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11E04" w:rsidRPr="00391260" w:rsidRDefault="00911E04" w:rsidP="0091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 xml:space="preserve">к Положению об оценке коррупционных рисков в </w:t>
      </w:r>
      <w:r>
        <w:rPr>
          <w:rFonts w:ascii="Times New Roman" w:hAnsi="Times New Roman" w:cs="Times New Roman"/>
          <w:sz w:val="28"/>
          <w:szCs w:val="28"/>
        </w:rPr>
        <w:t>Федеральном</w:t>
      </w:r>
      <w:r w:rsidRPr="0039126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 бюджетном</w:t>
      </w:r>
      <w:r w:rsidRPr="00391260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</w:p>
    <w:p w:rsidR="00911E04" w:rsidRDefault="00911E04" w:rsidP="0091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260">
        <w:rPr>
          <w:rFonts w:ascii="Times New Roman" w:hAnsi="Times New Roman" w:cs="Times New Roman"/>
          <w:sz w:val="28"/>
          <w:szCs w:val="28"/>
        </w:rPr>
        <w:t>«Всероссийский научно-исследовательский институт сельскохозяйственной биотехнологии»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04" w:rsidRDefault="00911E04" w:rsidP="00911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08">
        <w:rPr>
          <w:rFonts w:ascii="Times New Roman" w:hAnsi="Times New Roman" w:cs="Times New Roman"/>
          <w:sz w:val="28"/>
          <w:szCs w:val="28"/>
        </w:rPr>
        <w:t>КАРТА КОРРУПЦИОННЫХ РИСКОВ и мер по их минимизации</w:t>
      </w:r>
    </w:p>
    <w:p w:rsidR="00911E04" w:rsidRPr="00391260" w:rsidRDefault="00911E04" w:rsidP="0091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научного</w:t>
      </w:r>
      <w:r w:rsidRPr="0039126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91260">
        <w:rPr>
          <w:rFonts w:ascii="Times New Roman" w:hAnsi="Times New Roman" w:cs="Times New Roman"/>
          <w:sz w:val="28"/>
          <w:szCs w:val="28"/>
        </w:rPr>
        <w:t>«Всероссийский научно-исследовательский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60">
        <w:rPr>
          <w:rFonts w:ascii="Times New Roman" w:hAnsi="Times New Roman" w:cs="Times New Roman"/>
          <w:sz w:val="28"/>
          <w:szCs w:val="28"/>
        </w:rPr>
        <w:t>сельскохозяйственной биотехнологии»</w:t>
      </w:r>
    </w:p>
    <w:tbl>
      <w:tblPr>
        <w:tblOverlap w:val="never"/>
        <w:tblW w:w="1533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699"/>
        <w:gridCol w:w="2267"/>
        <w:gridCol w:w="1984"/>
        <w:gridCol w:w="1974"/>
        <w:gridCol w:w="1553"/>
        <w:gridCol w:w="2562"/>
        <w:gridCol w:w="2726"/>
      </w:tblGrid>
      <w:tr w:rsidR="00911E04" w:rsidRPr="001C1D5A" w:rsidTr="00911E04">
        <w:trPr>
          <w:trHeight w:val="14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№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gramStart"/>
            <w:r w:rsidRPr="001C1D5A">
              <w:rPr>
                <w:rFonts w:ascii="Times New Roman" w:hAnsi="Times New Roman" w:cs="Times New Roman"/>
              </w:rPr>
              <w:t>п</w:t>
            </w:r>
            <w:proofErr w:type="gramEnd"/>
            <w:r w:rsidRPr="001C1D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Процессы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деятельности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Критические точки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Характеристика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выгоды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Наименование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Степень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риска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gramStart"/>
            <w:r w:rsidRPr="001C1D5A">
              <w:rPr>
                <w:rFonts w:ascii="Times New Roman" w:hAnsi="Times New Roman" w:cs="Times New Roman"/>
              </w:rPr>
              <w:t>(низкая,</w:t>
            </w:r>
            <w:proofErr w:type="gramEnd"/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высокая)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Форма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осуществления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коррупционных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gramStart"/>
            <w:r w:rsidRPr="001C1D5A">
              <w:rPr>
                <w:rFonts w:ascii="Times New Roman" w:hAnsi="Times New Roman" w:cs="Times New Roman"/>
              </w:rPr>
              <w:t>Меры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но минимизации (устранению) коррупционного риска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Организация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деятельности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Института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родственников, знакомых, либо иной личной заинтересованности.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spellStart"/>
            <w:r w:rsidRPr="001C1D5A">
              <w:rPr>
                <w:rFonts w:ascii="Times New Roman" w:hAnsi="Times New Roman" w:cs="Times New Roman"/>
              </w:rPr>
              <w:t>Протекционизм</w:t>
            </w:r>
            <w:proofErr w:type="gramStart"/>
            <w:r w:rsidRPr="001C1D5A">
              <w:rPr>
                <w:rFonts w:ascii="Times New Roman" w:hAnsi="Times New Roman" w:cs="Times New Roman"/>
              </w:rPr>
              <w:t>,с</w:t>
            </w:r>
            <w:proofErr w:type="gramEnd"/>
            <w:r w:rsidRPr="001C1D5A">
              <w:rPr>
                <w:rFonts w:ascii="Times New Roman" w:hAnsi="Times New Roman" w:cs="Times New Roman"/>
              </w:rPr>
              <w:t>емейственность</w:t>
            </w:r>
            <w:proofErr w:type="spellEnd"/>
            <w:r w:rsidRPr="001C1D5A">
              <w:rPr>
                <w:rFonts w:ascii="Times New Roman" w:hAnsi="Times New Roman" w:cs="Times New Roman"/>
              </w:rPr>
              <w:t>, влияющие на уровень заработной платы, получение материальных ценностей в личное пользование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главный бухгалтер, главный инженер, руководители структурных 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Информационная открытость деятельности Института. Разъяснение работникам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br w:type="page"/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Принятие на работу сотрудника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Незаконный (противоправный) характер получаемых работником преимуществ (льгот, необоснованной заработной платы)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главный бухгалтер, руководители структурных подразделений, заведующий отделом кадров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подарков, Наличных денежных средств от соискателя вакансии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Разъяснение работникам о мерах ответственности за совершение коррупционных правонарушений Проведение собеседования при приеме на работу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специалисты отдела кадров, охраны труда, руководитель контрактного отдела, специалисты контрактного отдела, руководители структурных подразделений, специалисты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Соблюдение утвержденной антикоррупционной политики Института. Ознакомление с нормативными документами, регламентирующими вопросы предупреждения и противодействия коррупции в Институте. Разъяснение работникам Института положений законодательства о мерах ответственности за совершение коррупционных правонарушений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Оплата труда сотрудников, расчет заработной платы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Необоснованное начисление премий, оплата рабочего времени не в полном объеме, оплата рабочего времени в полном объеме в случаях, когда сотрудник фактически отсутствовал 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11E04">
              <w:rPr>
                <w:rFonts w:ascii="Times New Roman" w:hAnsi="Times New Roman" w:cs="Times New Roman"/>
              </w:rPr>
              <w:t>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Необоснованное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обогащение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911E04" w:rsidRDefault="00911E04" w:rsidP="00911E04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 главный бухгалтер, работники бухгалтерии,</w:t>
            </w:r>
            <w:r>
              <w:t xml:space="preserve"> </w:t>
            </w:r>
            <w:r w:rsidRPr="00911E04">
              <w:rPr>
                <w:rFonts w:ascii="Times New Roman" w:hAnsi="Times New Roman" w:cs="Times New Roman"/>
              </w:rPr>
              <w:t>руководители</w:t>
            </w:r>
          </w:p>
          <w:p w:rsidR="00911E04" w:rsidRPr="00911E04" w:rsidRDefault="00911E04" w:rsidP="00911E04">
            <w:pPr>
              <w:rPr>
                <w:rFonts w:ascii="Times New Roman" w:hAnsi="Times New Roman" w:cs="Times New Roman"/>
              </w:rPr>
            </w:pPr>
            <w:r w:rsidRPr="00911E04">
              <w:rPr>
                <w:rFonts w:ascii="Times New Roman" w:hAnsi="Times New Roman" w:cs="Times New Roman"/>
              </w:rPr>
              <w:t>структурных</w:t>
            </w:r>
          </w:p>
          <w:p w:rsidR="00911E04" w:rsidRPr="001C1D5A" w:rsidRDefault="00911E04" w:rsidP="00911E04">
            <w:pPr>
              <w:rPr>
                <w:rFonts w:ascii="Times New Roman" w:hAnsi="Times New Roman" w:cs="Times New Roman"/>
              </w:rPr>
            </w:pPr>
            <w:r w:rsidRPr="00911E04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наличных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Установление системы оплаты труда, нормирования труда, совершенствование показателей эффективности по должностям и структурным подразделениям. Установление </w:t>
            </w:r>
            <w:proofErr w:type="spellStart"/>
            <w:r w:rsidRPr="001C1D5A"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t xml:space="preserve"> </w:t>
            </w:r>
            <w:r w:rsidRPr="00911E04">
              <w:rPr>
                <w:rFonts w:ascii="Times New Roman" w:hAnsi="Times New Roman" w:cs="Times New Roman"/>
              </w:rPr>
              <w:t xml:space="preserve">с учетом мнения заместителей директора, представлений начальников (заведующих) структурных подразделений </w:t>
            </w:r>
            <w:proofErr w:type="spellStart"/>
            <w:r w:rsidRPr="001C1D5A">
              <w:rPr>
                <w:rFonts w:ascii="Times New Roman" w:hAnsi="Times New Roman" w:cs="Times New Roman"/>
              </w:rPr>
              <w:t>мулирующих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выплат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Проведение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аттестации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персонала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Необъективная оценка деятельности сотрудников Института, завышение (занижение) результативности труда и уровня профессиональных компетенций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Необоснованное завышение (занижение) оплаты труда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заместители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директора,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руководители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структурных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Привлечение в аттестационную комиссию независимых представителей профкома Коллегиальность при принятии решений об аттестации/</w:t>
            </w:r>
            <w:proofErr w:type="spellStart"/>
            <w:r w:rsidRPr="001C1D5A">
              <w:rPr>
                <w:rFonts w:ascii="Times New Roman" w:hAnsi="Times New Roman" w:cs="Times New Roman"/>
              </w:rPr>
              <w:t>неаттестации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работников Недопущение дискриминационных факторов и личных предпочтений при принятии решения об аттестации/</w:t>
            </w:r>
            <w:proofErr w:type="spellStart"/>
            <w:r w:rsidRPr="001C1D5A">
              <w:rPr>
                <w:rFonts w:ascii="Times New Roman" w:hAnsi="Times New Roman" w:cs="Times New Roman"/>
              </w:rPr>
              <w:t>неаттестации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в отношении конкретных работников.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911E04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Учет материальных ценностей и ведение баз данных материальных ценностей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Несвоевременная постановка на регистрационный учет материальных ценностей Умышленное досрочное списание материальных средств и расходных материалов с регистрационного учета материальных ценностей Отсутствие регулярного контроля наличия и сохранности материальных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Сговор с должностными лицами, отвечающими за соответствующие участки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Заместитель директора по финансовой работе, заместитель директора по развитию и информатизации, главный бухгалтер, работники бухгалтерии, заведующий ОМТС, материально ответственные лица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Регулярное проведение инвентаризации материальных ценностей Привлечение при списании материальных ценностей независимой экспертизы, проведение внутреннего аудита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Составление,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заполнение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документов,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справок,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отчетности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Сговор с должностным лицом, принимающим отчетность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Заместители директора, главный бухгалтер, работники бухгалтерии; главный инженер, главный механик, главный энергетик,</w:t>
            </w:r>
            <w:proofErr w:type="gramStart"/>
            <w:r w:rsidRPr="001C1D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заведующий отделом кадров, начальник юридического </w:t>
            </w:r>
            <w:r w:rsidRPr="001C1D5A">
              <w:rPr>
                <w:rFonts w:ascii="Times New Roman" w:hAnsi="Times New Roman" w:cs="Times New Roman"/>
              </w:rPr>
              <w:lastRenderedPageBreak/>
              <w:t>отдела, руководители структурных 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Дарение подарков, наличных денежных средств и оказание неслужебных услуг должностным лицам, принимающим документы, отчеты; Получение наличных денежных средств, подарков от получателей справок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Организация работы по контролю деятельности работников, осу </w:t>
            </w:r>
            <w:proofErr w:type="spellStart"/>
            <w:r w:rsidRPr="001C1D5A">
              <w:rPr>
                <w:rFonts w:ascii="Times New Roman" w:hAnsi="Times New Roman" w:cs="Times New Roman"/>
              </w:rPr>
              <w:t>ществл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я ю щ и х заполнение отчетности, </w:t>
            </w:r>
            <w:proofErr w:type="gramStart"/>
            <w:r w:rsidRPr="001C1D5A">
              <w:rPr>
                <w:rFonts w:ascii="Times New Roman" w:hAnsi="Times New Roman" w:cs="Times New Roman"/>
              </w:rPr>
              <w:t>основанного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на механизме проверочных мероприятий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Осуществление закупок, заключение контрактов и других гражданск</w:t>
            </w:r>
            <w:proofErr w:type="gramStart"/>
            <w:r w:rsidRPr="001C1D5A">
              <w:rPr>
                <w:rFonts w:ascii="Times New Roman" w:hAnsi="Times New Roman" w:cs="Times New Roman"/>
              </w:rPr>
              <w:t>о-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правовых договоров на поставку товаров,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выполнение работ, оказание услуг для нужд учреждения (ограничение</w:t>
            </w:r>
            <w:proofErr w:type="gramStart"/>
            <w:r w:rsidRPr="001C1D5A">
              <w:rPr>
                <w:rFonts w:ascii="Times New Roman" w:hAnsi="Times New Roman" w:cs="Times New Roman"/>
              </w:rPr>
              <w:t>)к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руга возможных поставщиков; необоснованное расширение (сужение) круга </w:t>
            </w:r>
            <w:r w:rsidRPr="001C1D5A">
              <w:rPr>
                <w:rFonts w:ascii="Times New Roman" w:hAnsi="Times New Roman" w:cs="Times New Roman"/>
              </w:rPr>
              <w:lastRenderedPageBreak/>
              <w:t>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функции по осуществлению закупок,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Сговор с контрагентом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руководитель и работники контрактного отдела, члены Единой комиссии, члены Приемочной комиссии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наличных денежных средств от контрагента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 Разъяснение работникам учреждения,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</w:t>
            </w:r>
            <w:r w:rsidRPr="001C1D5A">
              <w:rPr>
                <w:rFonts w:ascii="Times New Roman" w:hAnsi="Times New Roman" w:cs="Times New Roman"/>
              </w:rPr>
              <w:lastRenderedPageBreak/>
              <w:t xml:space="preserve">регламентирующими вопросы предупреждения и противодействия коррупции в учреждении Осуществление </w:t>
            </w:r>
            <w:proofErr w:type="gramStart"/>
            <w:r w:rsidRPr="001C1D5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деятельностью структурных подразделений, ответственных за проведение закупок</w:t>
            </w:r>
            <w:r w:rsidRPr="001C1D5A">
              <w:rPr>
                <w:rFonts w:ascii="Times New Roman" w:hAnsi="Times New Roman" w:cs="Times New Roman"/>
              </w:rPr>
              <w:br w:type="page"/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gramStart"/>
            <w:r w:rsidRPr="001C1D5A">
              <w:rPr>
                <w:rFonts w:ascii="Times New Roman" w:hAnsi="Times New Roman" w:cs="Times New Roman"/>
              </w:rPr>
              <w:t xml:space="preserve">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</w:t>
            </w:r>
            <w:r w:rsidRPr="001C1D5A">
              <w:rPr>
                <w:rFonts w:ascii="Times New Roman" w:hAnsi="Times New Roman" w:cs="Times New Roman"/>
              </w:rPr>
              <w:lastRenderedPageBreak/>
              <w:t>заключение договоров без соблюдения установленной процедуры; отказ от проведения мониторинга цен на товары и услуги;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Осуществление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образовательной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При проведении вступительных экзаменов, промежуточной и итоговой аттестации обучаемых, </w:t>
            </w:r>
            <w:proofErr w:type="spellStart"/>
            <w:proofErr w:type="gramStart"/>
            <w:r w:rsidRPr="001C1D5A">
              <w:rPr>
                <w:rFonts w:ascii="Times New Roman" w:hAnsi="Times New Roman" w:cs="Times New Roman"/>
              </w:rPr>
              <w:t>положител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1D5A">
              <w:rPr>
                <w:rFonts w:ascii="Times New Roman" w:hAnsi="Times New Roman" w:cs="Times New Roman"/>
              </w:rPr>
              <w:t>ьное</w:t>
            </w:r>
            <w:proofErr w:type="spellEnd"/>
            <w:proofErr w:type="gramEnd"/>
            <w:r w:rsidRPr="001C1D5A">
              <w:rPr>
                <w:rFonts w:ascii="Times New Roman" w:hAnsi="Times New Roman" w:cs="Times New Roman"/>
              </w:rPr>
              <w:t xml:space="preserve"> заключение по фактически не прошедшим обучение, прошедшим обучение неудовлетворительно за денежное вознаграждение или его эквивалент. При выдаче документов о прохождении </w:t>
            </w:r>
            <w:r w:rsidRPr="001C1D5A">
              <w:rPr>
                <w:rFonts w:ascii="Times New Roman" w:hAnsi="Times New Roman" w:cs="Times New Roman"/>
              </w:rPr>
              <w:lastRenderedPageBreak/>
              <w:t>обучения выдача документов при отсутствии фактического прохождения обучения, неполного обучения и т.д. за денежное вознаграждение или его эквивалент.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Необоснованное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обогащение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заместители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директора, заведующий отделом  аспирантуры, руководители структурных 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Получение наличных денежных средств от </w:t>
            </w:r>
            <w:proofErr w:type="gramStart"/>
            <w:r w:rsidRPr="001C1D5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1C1D5A">
              <w:rPr>
                <w:rFonts w:ascii="Times New Roman" w:hAnsi="Times New Roman" w:cs="Times New Roman"/>
              </w:rPr>
              <w:t>, уменьшение личных трудозатрат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Периодическое разъяснение работникам обязанности незамедлительно сообщить представителю работодателя о склонении его к совершению коррупционного правонарушения; мер ответственности за совершение коррупционных правонарушений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Осуществление функций по </w:t>
            </w:r>
            <w:proofErr w:type="gramStart"/>
            <w:r w:rsidRPr="001C1D5A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исполнением нормативных правовых актов (инспекции, проверки, ревизии)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Осуществление контроля за деятельностью структурных подразделений, расходования бюджетных средств, выполнения государственного задания на оказание государственных услуг (выполнение работ), качества оказания услуг основной деятельности, сохранности денежных средств и </w:t>
            </w:r>
            <w:proofErr w:type="spellStart"/>
            <w:proofErr w:type="gramStart"/>
            <w:r w:rsidRPr="001C1D5A">
              <w:rPr>
                <w:rFonts w:ascii="Times New Roman" w:hAnsi="Times New Roman" w:cs="Times New Roman"/>
              </w:rPr>
              <w:t>товарно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— материальных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</w:t>
            </w:r>
            <w:r w:rsidRPr="001C1D5A">
              <w:rPr>
                <w:rFonts w:ascii="Times New Roman" w:hAnsi="Times New Roman" w:cs="Times New Roman"/>
              </w:rPr>
              <w:lastRenderedPageBreak/>
              <w:t>ценностей, оказание платных услуг и состояния технической защиты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 xml:space="preserve">Сговор с </w:t>
            </w:r>
            <w:proofErr w:type="gramStart"/>
            <w:r w:rsidRPr="001C1D5A">
              <w:rPr>
                <w:rFonts w:ascii="Times New Roman" w:hAnsi="Times New Roman" w:cs="Times New Roman"/>
              </w:rPr>
              <w:t>проверяющим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главный бухгалтер, заместители директора, заведующий отделом кадров, начальник юридического отдела, главный инженер, руководители структурных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Изучение нормативных документов в области противодействия коррупции Организация внутреннего </w:t>
            </w:r>
            <w:proofErr w:type="gramStart"/>
            <w:r w:rsidRPr="001C1D5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Осуществление функций получателя бюджетных </w:t>
            </w:r>
            <w:proofErr w:type="gramStart"/>
            <w:r w:rsidRPr="001C1D5A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на реализацию возложенных на Институт полномочий. Финансовое обеспечение деятельности Института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Недостаточная проверка правильности оформления поступивших на оплату первичных документов и их соответствия суммам, заложенным на расходы. Допущение возможности случаев повторной оплаты одних и тех же работ (услуг).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При осуществлении приемки товаров (услуг), при обработке счетов, товарных накладных </w:t>
            </w:r>
            <w:r w:rsidRPr="001C1D5A">
              <w:rPr>
                <w:rFonts w:ascii="Times New Roman" w:hAnsi="Times New Roman" w:cs="Times New Roman"/>
              </w:rPr>
              <w:lastRenderedPageBreak/>
              <w:t xml:space="preserve">и актов выполненных работ по договорам выявление ответственным работником факта </w:t>
            </w:r>
            <w:proofErr w:type="spellStart"/>
            <w:r w:rsidRPr="001C1D5A">
              <w:rPr>
                <w:rFonts w:ascii="Times New Roman" w:hAnsi="Times New Roman" w:cs="Times New Roman"/>
              </w:rPr>
              <w:t>непроведения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работ и его сокрытие по договоренности с поставщиком. При проверке правильности оформления поступивших на оплату первичных документов, а также соответствия их суммам, предусмотренным контрактом (договором), выявление ответственным работником факта выполнения работ (услуг), непредусмотренных контрактом (договором</w:t>
            </w:r>
            <w:proofErr w:type="gramStart"/>
            <w:r w:rsidRPr="001C1D5A">
              <w:rPr>
                <w:rFonts w:ascii="Times New Roman" w:hAnsi="Times New Roman" w:cs="Times New Roman"/>
              </w:rPr>
              <w:t>)и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принятие к оплате, как соответствующих контракту. Поступление предложений </w:t>
            </w:r>
            <w:r w:rsidRPr="001C1D5A">
              <w:rPr>
                <w:rFonts w:ascii="Times New Roman" w:hAnsi="Times New Roman" w:cs="Times New Roman"/>
              </w:rPr>
              <w:lastRenderedPageBreak/>
              <w:t>директору Института от заинтересованного лица способствовать за вознаграждение нецелевому использованию бюджетных средств.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Необоснованное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обогащение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главный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бухгалтер,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заместители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главного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бухгалтера,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начальник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ФЭО,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заместители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директора,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руководитель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контрактного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отдела,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руководители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структурных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наличных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 Периодическое разъяснение работникам обязанности незамедлительно </w:t>
            </w:r>
            <w:r w:rsidRPr="001C1D5A">
              <w:rPr>
                <w:rFonts w:ascii="Times New Roman" w:hAnsi="Times New Roman" w:cs="Times New Roman"/>
              </w:rPr>
              <w:lastRenderedPageBreak/>
              <w:t>сообщить представителю работодателя о склонении его к совершению коррупционного правонарушения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Принятие решений об </w:t>
            </w:r>
            <w:proofErr w:type="spellStart"/>
            <w:proofErr w:type="gramStart"/>
            <w:r w:rsidRPr="001C1D5A">
              <w:rPr>
                <w:rFonts w:ascii="Times New Roman" w:hAnsi="Times New Roman" w:cs="Times New Roman"/>
              </w:rPr>
              <w:t>использовани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бюджетных средств и средств от приносящей доход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Нецелевое использование бюджетных средств и </w:t>
            </w:r>
            <w:proofErr w:type="gramStart"/>
            <w:r w:rsidRPr="001C1D5A">
              <w:rPr>
                <w:rFonts w:ascii="Times New Roman" w:hAnsi="Times New Roman" w:cs="Times New Roman"/>
              </w:rPr>
              <w:t>средств, полученных от приносящей доход деятельности в целях получения материальной выгоды работнику поступает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предложение за вознаграждение скрыть наличие просроченной дебиторской задолженности, не принимать меры к погашению просроченной дебиторской </w:t>
            </w:r>
            <w:r w:rsidRPr="001C1D5A">
              <w:rPr>
                <w:rFonts w:ascii="Times New Roman" w:hAnsi="Times New Roman" w:cs="Times New Roman"/>
              </w:rPr>
              <w:lastRenderedPageBreak/>
              <w:t>задолженности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Обогащение в личных целях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главный инженер, заместители директора, главный бухгалтер, заместитель главного бухгалтера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наличных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911E04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Соблюдение законодательства Российской Федерации в сфере использования средств Институтом и локальных нормативных актов Института Исключение необходимости личного взаимодействия с гражданами и организациями Ознакомление с нормативными документами, регламентирующими вопросы предупреждения и противодействия коррупции в учреждении. Разъяснительная работа о </w:t>
            </w:r>
            <w:r w:rsidRPr="001C1D5A">
              <w:rPr>
                <w:rFonts w:ascii="Times New Roman" w:hAnsi="Times New Roman" w:cs="Times New Roman"/>
              </w:rPr>
              <w:lastRenderedPageBreak/>
              <w:t>мерах ответственности за совершение коррупционных правонарушений.</w:t>
            </w:r>
            <w:r w:rsidRPr="001C1D5A">
              <w:rPr>
                <w:rFonts w:ascii="Times New Roman" w:hAnsi="Times New Roman" w:cs="Times New Roman"/>
              </w:rPr>
              <w:br w:type="page"/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1D5A">
              <w:rPr>
                <w:rFonts w:ascii="Times New Roman" w:hAnsi="Times New Roman" w:cs="Times New Roman"/>
              </w:rPr>
              <w:t>Взаимоотношени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я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D5A">
              <w:rPr>
                <w:rFonts w:ascii="Times New Roman" w:hAnsi="Times New Roman" w:cs="Times New Roman"/>
              </w:rPr>
              <w:t>вышестоящими должностными лицами, с долж</w:t>
            </w:r>
            <w:r w:rsidRPr="001C1D5A">
              <w:rPr>
                <w:rFonts w:ascii="Times New Roman" w:hAnsi="Times New Roman" w:cs="Times New Roman"/>
              </w:rPr>
              <w:softHyphen/>
              <w:t xml:space="preserve">ностными лицами в органах власти и управления, правоохранитель </w:t>
            </w:r>
            <w:proofErr w:type="spellStart"/>
            <w:r w:rsidRPr="001C1D5A">
              <w:rPr>
                <w:rFonts w:ascii="Times New Roman" w:hAnsi="Times New Roman" w:cs="Times New Roman"/>
              </w:rPr>
              <w:t>ных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органах и различных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Необоснованное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преимуществ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руководители структурных подразделений, работники Института, уполномоченные директором представлять интересы Института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Дача взятки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Соблюдение утвержденной антикоррупционной политики Института 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Представление интересов Института в судах общей юрисдикции, арбитражном суде и иных органах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proofErr w:type="gramStart"/>
            <w:r w:rsidRPr="001C1D5A">
              <w:rPr>
                <w:rFonts w:ascii="Times New Roman" w:hAnsi="Times New Roman" w:cs="Times New Roman"/>
              </w:rPr>
              <w:t>Пассивная позиция представителя Института при защите его интересов в целях принятия судебного решения в пользу третьих лиц Злоупотребление предоставленными полномочиями (при работе с контрагентами по выполнению условий заключенных договоров, контрактов ответственному работнику предлагается за вознаграждение способствовать не предъявлению претензии за допущенные нарушения условия контракта либо договора.</w:t>
            </w:r>
            <w:proofErr w:type="gramEnd"/>
            <w:r w:rsidRPr="001C1D5A">
              <w:rPr>
                <w:rFonts w:ascii="Times New Roman" w:hAnsi="Times New Roman" w:cs="Times New Roman"/>
              </w:rPr>
              <w:t xml:space="preserve"> Подписание мировых соглашений на невыгодных для Института условиях.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Необоснованное</w:t>
            </w:r>
          </w:p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обогащение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Начальник и сотрудники юридического отдела, руководители структурных 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Получение наличных денежных средств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Периодическое разъяснение работникам обязанности незамедлительно сообщить представителю работодателя о склонении его к совершению коррупционного правонарушения; мер ответственности за совершение коррупционных правонарушений</w:t>
            </w:r>
          </w:p>
        </w:tc>
      </w:tr>
      <w:tr w:rsidR="00911E04" w:rsidRPr="001C1D5A" w:rsidTr="00911E04">
        <w:trPr>
          <w:trHeight w:val="35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3174"/>
              <w:tblOverlap w:val="never"/>
              <w:tblW w:w="113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1560"/>
              <w:gridCol w:w="2549"/>
              <w:gridCol w:w="2722"/>
              <w:gridCol w:w="2722"/>
            </w:tblGrid>
            <w:tr w:rsidR="00911E04" w:rsidRPr="001C1D5A" w:rsidTr="00911E04">
              <w:trPr>
                <w:gridAfter w:val="1"/>
                <w:wAfter w:w="2722" w:type="dxa"/>
                <w:trHeight w:val="317"/>
              </w:trPr>
              <w:tc>
                <w:tcPr>
                  <w:tcW w:w="1757" w:type="dxa"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gridAfter w:val="1"/>
                <w:wAfter w:w="2722" w:type="dxa"/>
                <w:trHeight w:val="250"/>
              </w:trPr>
              <w:tc>
                <w:tcPr>
                  <w:tcW w:w="1757" w:type="dxa"/>
                  <w:vMerge w:val="restart"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40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54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54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30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B329E7">
              <w:trPr>
                <w:trHeight w:val="278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B329E7">
              <w:trPr>
                <w:gridAfter w:val="1"/>
                <w:wAfter w:w="2722" w:type="dxa"/>
                <w:trHeight w:val="393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B329E7">
              <w:trPr>
                <w:gridAfter w:val="1"/>
                <w:wAfter w:w="2722" w:type="dxa"/>
                <w:trHeight w:val="259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gridAfter w:val="1"/>
                <w:wAfter w:w="2722" w:type="dxa"/>
                <w:trHeight w:val="250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40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54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54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30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trHeight w:val="278"/>
              </w:trPr>
              <w:tc>
                <w:tcPr>
                  <w:tcW w:w="1757" w:type="dxa"/>
                  <w:vMerge/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E04" w:rsidRPr="001C1D5A" w:rsidTr="00911E04">
              <w:trPr>
                <w:gridAfter w:val="1"/>
                <w:wAfter w:w="2722" w:type="dxa"/>
                <w:trHeight w:val="393"/>
              </w:trPr>
              <w:tc>
                <w:tcPr>
                  <w:tcW w:w="1757" w:type="dxa"/>
                  <w:vMerge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1E04" w:rsidRPr="001C1D5A" w:rsidRDefault="00911E04" w:rsidP="00F62B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Разработка проектов локальных нормативных актов по вопросам, относящимся к сфере деятельности института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 xml:space="preserve">Разработка проектов локальных нормативных актов, предоставляющих необоснованные преимущества отдельным субъектам. При разработке проектов локальных нормативных актов Института в целях создания преференций для заинтересованных лиц в проекте акта предусматриваются правовые нормы, содержащие </w:t>
            </w:r>
            <w:proofErr w:type="spellStart"/>
            <w:r w:rsidRPr="001C1D5A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1C1D5A">
              <w:rPr>
                <w:rFonts w:ascii="Times New Roman" w:hAnsi="Times New Roman" w:cs="Times New Roman"/>
              </w:rPr>
              <w:t xml:space="preserve"> факторы.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Директор, заместители директора, начальник и сотрудники юридического отдела, руководители структурных подразделений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E04" w:rsidRPr="001C1D5A" w:rsidRDefault="00911E04" w:rsidP="00F62B55">
            <w:pPr>
              <w:rPr>
                <w:rFonts w:ascii="Times New Roman" w:hAnsi="Times New Roman" w:cs="Times New Roman"/>
              </w:rPr>
            </w:pPr>
            <w:r w:rsidRPr="001C1D5A">
              <w:rPr>
                <w:rFonts w:ascii="Times New Roman" w:hAnsi="Times New Roman" w:cs="Times New Roman"/>
              </w:rPr>
              <w:t>Проведение антикоррупционной экспертизы проектов локальных нормативных актов Института</w:t>
            </w:r>
          </w:p>
        </w:tc>
      </w:tr>
    </w:tbl>
    <w:p w:rsidR="005E57DF" w:rsidRDefault="005E57DF" w:rsidP="00244D0F"/>
    <w:sectPr w:rsidR="005E57DF" w:rsidSect="00911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4D"/>
    <w:rsid w:val="00244D0F"/>
    <w:rsid w:val="0034548E"/>
    <w:rsid w:val="005E57DF"/>
    <w:rsid w:val="00865D4D"/>
    <w:rsid w:val="009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E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E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2024-11-19T05:21:00Z</dcterms:created>
  <dcterms:modified xsi:type="dcterms:W3CDTF">2024-11-19T05:21:00Z</dcterms:modified>
</cp:coreProperties>
</file>